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m" ContentType="application/vnd.ms-excel.sheet.macroEnabled.12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2862D" w14:textId="77777777" w:rsidR="00A01621" w:rsidRDefault="00A01621" w:rsidP="00A0162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E31837"/>
          <w:sz w:val="32"/>
          <w:szCs w:val="32"/>
          <w:u w:val="single"/>
        </w:rPr>
      </w:pPr>
      <w:bookmarkStart w:id="0" w:name="_GoBack"/>
      <w:bookmarkEnd w:id="0"/>
      <w:r w:rsidRPr="003B192C">
        <w:rPr>
          <w:rFonts w:ascii="Arial" w:hAnsi="Arial" w:cs="Arial"/>
          <w:b/>
          <w:color w:val="E31837"/>
          <w:sz w:val="28"/>
          <w:szCs w:val="32"/>
          <w:u w:val="single"/>
        </w:rPr>
        <w:t>VMware ESXi</w:t>
      </w:r>
    </w:p>
    <w:p w14:paraId="7DC244FC" w14:textId="77777777" w:rsidR="00A01621" w:rsidRDefault="00A01621" w:rsidP="00A0162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E31837"/>
          <w:sz w:val="32"/>
          <w:szCs w:val="32"/>
          <w:u w:val="single"/>
        </w:rPr>
      </w:pPr>
    </w:p>
    <w:p w14:paraId="20DD732E" w14:textId="77777777" w:rsidR="00A01621" w:rsidRPr="001F5E93" w:rsidRDefault="00A01621" w:rsidP="001F5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F5E93">
        <w:rPr>
          <w:rFonts w:ascii="Arial" w:hAnsi="Arial" w:cs="Arial"/>
        </w:rPr>
        <w:t>The core of the vSphere product suite is the hypervisor, which is the</w:t>
      </w:r>
      <w:r w:rsidR="001F5E93">
        <w:rPr>
          <w:rFonts w:ascii="Arial" w:hAnsi="Arial" w:cs="Arial"/>
        </w:rPr>
        <w:t xml:space="preserve"> </w:t>
      </w:r>
      <w:r w:rsidRPr="001F5E93">
        <w:rPr>
          <w:rFonts w:ascii="Arial" w:hAnsi="Arial" w:cs="Arial"/>
        </w:rPr>
        <w:t>virtualization layer</w:t>
      </w:r>
    </w:p>
    <w:p w14:paraId="6A987A75" w14:textId="77777777" w:rsidR="00A01621" w:rsidRPr="001F5E93" w:rsidRDefault="00A01621" w:rsidP="001F5E9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</w:p>
    <w:p w14:paraId="769ED708" w14:textId="77777777" w:rsidR="00A01621" w:rsidRPr="003B192C" w:rsidRDefault="00A01621" w:rsidP="001F5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4"/>
          <w:u w:val="single"/>
        </w:rPr>
        <w:t>T</w:t>
      </w:r>
      <w:r w:rsidR="001F5E93"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4"/>
          <w:u w:val="single"/>
        </w:rPr>
        <w:t>ype 1 and Type 2 Hypervisor</w:t>
      </w:r>
      <w:r w:rsidR="001F5E93" w:rsidRPr="003B192C">
        <w:rPr>
          <w:rFonts w:ascii="Arial" w:hAnsi="Arial" w:cs="Arial"/>
          <w:b/>
          <w:bCs/>
          <w:sz w:val="24"/>
          <w:szCs w:val="24"/>
        </w:rPr>
        <w:tab/>
      </w:r>
    </w:p>
    <w:p w14:paraId="46AC49C3" w14:textId="77777777" w:rsidR="00A01621" w:rsidRDefault="00A01621" w:rsidP="00A0162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</w:p>
    <w:p w14:paraId="5A96A16B" w14:textId="77777777" w:rsidR="00A01621" w:rsidRDefault="00A01621" w:rsidP="00A0162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  <w:r w:rsidRPr="00AC18A8">
        <w:rPr>
          <w:rFonts w:ascii="Georgia" w:hAnsi="Georgia" w:cs="Georgia"/>
          <w:noProof/>
          <w:sz w:val="30"/>
          <w:szCs w:val="30"/>
        </w:rPr>
        <w:drawing>
          <wp:inline distT="0" distB="0" distL="0" distR="0" wp14:anchorId="1C3E414C" wp14:editId="1B5BCFD0">
            <wp:extent cx="5486400" cy="3201035"/>
            <wp:effectExtent l="0" t="0" r="0" b="0"/>
            <wp:docPr id="101" name="Diagra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>
        <w:rPr>
          <w:rFonts w:ascii="Georgia" w:hAnsi="Georgia" w:cs="Georgia"/>
          <w:sz w:val="30"/>
          <w:szCs w:val="30"/>
        </w:rPr>
        <w:t xml:space="preserve"> </w:t>
      </w:r>
    </w:p>
    <w:p w14:paraId="5FBB6F12" w14:textId="77777777" w:rsidR="00A01621" w:rsidRDefault="00A01621" w:rsidP="00A0162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</w:p>
    <w:p w14:paraId="34A0E047" w14:textId="77777777" w:rsidR="00A01621" w:rsidRPr="003B192C" w:rsidRDefault="002F20C2" w:rsidP="003B19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4"/>
          <w:u w:val="single"/>
        </w:rPr>
      </w:pPr>
      <w:r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4"/>
          <w:u w:val="single"/>
        </w:rPr>
        <w:t>Planning the</w:t>
      </w:r>
      <w:r w:rsidR="00A01621"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  <w:sz w:val="24"/>
          <w:szCs w:val="24"/>
          <w:u w:val="single"/>
        </w:rPr>
        <w:t xml:space="preserve"> ESXi Server Deployment.</w:t>
      </w:r>
    </w:p>
    <w:p w14:paraId="1AC8DC5C" w14:textId="77777777" w:rsidR="003B192C" w:rsidRDefault="003B192C" w:rsidP="003B192C">
      <w:pPr>
        <w:pStyle w:val="ListParagraph"/>
        <w:rPr>
          <w:rFonts w:ascii="Arial" w:hAnsi="Arial" w:cs="Arial"/>
          <w:b/>
        </w:rPr>
      </w:pPr>
    </w:p>
    <w:p w14:paraId="26BA83B9" w14:textId="77777777" w:rsidR="00A01621" w:rsidRPr="003B192C" w:rsidRDefault="00A01621" w:rsidP="003B192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</w:pPr>
      <w:r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  <w:t>Hardware Compatibility Checks:-</w:t>
      </w:r>
    </w:p>
    <w:p w14:paraId="5C5C22ED" w14:textId="77777777" w:rsidR="00A01621" w:rsidRPr="00DF5BE3" w:rsidRDefault="00A01621" w:rsidP="00A01621">
      <w:pPr>
        <w:pStyle w:val="ListParagraph"/>
        <w:rPr>
          <w:rFonts w:ascii="Arial" w:hAnsi="Arial" w:cs="Arial"/>
        </w:rPr>
      </w:pPr>
      <w:r w:rsidRPr="00DF5BE3">
        <w:rPr>
          <w:rFonts w:ascii="Arial" w:hAnsi="Arial" w:cs="Arial"/>
        </w:rPr>
        <w:t>ESXi Server requires a specific set of hardware components in order to be supported by VMware. Before purchasing or deploying ESXi Servers, Confirm the software compatibility of the hardware to be used.</w:t>
      </w:r>
    </w:p>
    <w:p w14:paraId="55B4CC51" w14:textId="77777777" w:rsidR="00A01621" w:rsidRPr="00DF5BE3" w:rsidRDefault="00923F75" w:rsidP="00A01621">
      <w:pPr>
        <w:pStyle w:val="ListParagraph"/>
        <w:rPr>
          <w:rFonts w:ascii="Arial" w:hAnsi="Arial" w:cs="Arial"/>
        </w:rPr>
      </w:pPr>
      <w:hyperlink r:id="rId12" w:history="1">
        <w:r w:rsidR="00A01621" w:rsidRPr="00DF5BE3">
          <w:rPr>
            <w:rStyle w:val="Hyperlink"/>
            <w:rFonts w:ascii="Arial" w:hAnsi="Arial" w:cs="Arial"/>
          </w:rPr>
          <w:t>http://www.vmware.com/resources/compatibility/search.php</w:t>
        </w:r>
      </w:hyperlink>
    </w:p>
    <w:p w14:paraId="140F20B0" w14:textId="77777777" w:rsidR="00A01621" w:rsidRDefault="00A01621" w:rsidP="00A01621">
      <w:pPr>
        <w:pStyle w:val="ListParagraph"/>
        <w:rPr>
          <w:b/>
          <w:sz w:val="32"/>
          <w:szCs w:val="32"/>
        </w:rPr>
      </w:pPr>
    </w:p>
    <w:p w14:paraId="2365AA93" w14:textId="77777777" w:rsidR="00A01621" w:rsidRDefault="00A01621" w:rsidP="00A01621">
      <w:pPr>
        <w:pStyle w:val="ListParagraph"/>
        <w:rPr>
          <w:b/>
          <w:sz w:val="32"/>
          <w:szCs w:val="32"/>
        </w:rPr>
      </w:pPr>
      <w:r w:rsidRPr="00E93F14">
        <w:rPr>
          <w:noProof/>
        </w:rPr>
        <w:lastRenderedPageBreak/>
        <w:drawing>
          <wp:inline distT="0" distB="0" distL="0" distR="0" wp14:anchorId="2C4011D1" wp14:editId="30F83BB2">
            <wp:extent cx="5943600" cy="2590800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D8A72" w14:textId="3A8AE723" w:rsidR="00A01621" w:rsidRDefault="00886C39" w:rsidP="00A01621">
      <w:pPr>
        <w:pStyle w:val="ListParagraph"/>
        <w:rPr>
          <w:b/>
          <w:sz w:val="32"/>
          <w:szCs w:val="32"/>
        </w:rPr>
      </w:pPr>
      <w:r w:rsidRPr="004C3841">
        <w:rPr>
          <w:b/>
          <w:sz w:val="32"/>
          <w:szCs w:val="32"/>
        </w:rPr>
        <w:object w:dxaOrig="2069" w:dyaOrig="1339" w14:anchorId="3E16DB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66.75pt" o:ole="">
            <v:imagedata r:id="rId14" o:title=""/>
          </v:shape>
          <o:OLEObject Type="Embed" ProgID="Excel.SheetMacroEnabled.12" ShapeID="_x0000_i1025" DrawAspect="Icon" ObjectID="_1614888200" r:id="rId15"/>
        </w:object>
      </w:r>
    </w:p>
    <w:p w14:paraId="4FC4DE00" w14:textId="77777777" w:rsidR="00A01621" w:rsidRPr="003B192C" w:rsidRDefault="00A01621" w:rsidP="003B192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</w:pPr>
      <w:r w:rsidRPr="003B192C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  <w:t xml:space="preserve">Plan an ESXi deployment </w:t>
      </w:r>
    </w:p>
    <w:p w14:paraId="4E8594BE" w14:textId="77777777" w:rsidR="00A01621" w:rsidRDefault="00A01621" w:rsidP="00A01621">
      <w:pPr>
        <w:autoSpaceDE w:val="0"/>
        <w:autoSpaceDN w:val="0"/>
        <w:adjustRightInd w:val="0"/>
        <w:spacing w:after="0" w:line="240" w:lineRule="auto"/>
        <w:ind w:left="720"/>
        <w:rPr>
          <w:rFonts w:ascii="Georgia" w:hAnsi="Georgia" w:cs="Georgia"/>
          <w:sz w:val="30"/>
          <w:szCs w:val="30"/>
        </w:rPr>
      </w:pPr>
    </w:p>
    <w:p w14:paraId="75A828B1" w14:textId="77777777" w:rsidR="00A01621" w:rsidRPr="000B569B" w:rsidRDefault="00A01621" w:rsidP="003B192C">
      <w:pPr>
        <w:pStyle w:val="ListParagraph"/>
        <w:rPr>
          <w:rFonts w:ascii="Arial" w:hAnsi="Arial" w:cs="Arial"/>
        </w:rPr>
      </w:pPr>
      <w:r w:rsidRPr="000B569B">
        <w:rPr>
          <w:rFonts w:ascii="Arial" w:hAnsi="Arial" w:cs="Arial"/>
        </w:rPr>
        <w:t>To plan a vSphere deployment, you must answer a number of questions (please note that this list is far from comprehensive):</w:t>
      </w:r>
    </w:p>
    <w:p w14:paraId="4F2E0F2D" w14:textId="77777777" w:rsidR="00A01621" w:rsidRPr="000B569B" w:rsidRDefault="00A01621" w:rsidP="003B192C">
      <w:pPr>
        <w:pStyle w:val="ListParagraph"/>
        <w:rPr>
          <w:rFonts w:ascii="Arial" w:hAnsi="Arial" w:cs="Arial"/>
        </w:rPr>
      </w:pPr>
      <w:r w:rsidRPr="000B569B">
        <w:rPr>
          <w:rFonts w:ascii="Arial" w:hAnsi="Arial" w:cs="Arial"/>
        </w:rPr>
        <w:t>What types of servers will I use for the underlying physical hardware?</w:t>
      </w:r>
    </w:p>
    <w:p w14:paraId="35091B5F" w14:textId="77777777" w:rsidR="00A01621" w:rsidRPr="000B569B" w:rsidRDefault="00A01621" w:rsidP="003B192C">
      <w:pPr>
        <w:pStyle w:val="ListParagraph"/>
        <w:rPr>
          <w:rFonts w:ascii="Arial" w:hAnsi="Arial" w:cs="Arial"/>
        </w:rPr>
      </w:pPr>
      <w:r w:rsidRPr="000B569B">
        <w:rPr>
          <w:rFonts w:ascii="Arial" w:hAnsi="Arial" w:cs="Arial"/>
        </w:rPr>
        <w:t>What kinds of storage will I use, and how will I connect that storage to my servers? How will the networking be configured?</w:t>
      </w:r>
    </w:p>
    <w:p w14:paraId="396BE62D" w14:textId="77777777" w:rsidR="00A01621" w:rsidRPr="003B192C" w:rsidRDefault="00A01621" w:rsidP="003B192C">
      <w:pPr>
        <w:pStyle w:val="ListParagraph"/>
        <w:rPr>
          <w:rFonts w:ascii="Arial" w:hAnsi="Arial" w:cs="Arial"/>
        </w:rPr>
      </w:pPr>
      <w:r w:rsidRPr="000B569B">
        <w:rPr>
          <w:rFonts w:ascii="Arial" w:hAnsi="Arial" w:cs="Arial"/>
        </w:rPr>
        <w:t>These issues center on how the vSphere deployment will impact your staff, your business processes, and your operational procedures.</w:t>
      </w:r>
    </w:p>
    <w:p w14:paraId="7B6A1DF1" w14:textId="77777777" w:rsidR="00A01621" w:rsidRDefault="00A01621" w:rsidP="00A0162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30"/>
          <w:szCs w:val="30"/>
        </w:rPr>
      </w:pPr>
    </w:p>
    <w:p w14:paraId="310B9F56" w14:textId="77777777" w:rsidR="00A01621" w:rsidRPr="00FC24AE" w:rsidRDefault="00A01621" w:rsidP="00FC24A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</w:pPr>
      <w:r w:rsidRPr="00FC24AE">
        <w:rPr>
          <w:rFonts w:ascii="Arial" w:eastAsia="Times New Roman" w:hAnsi="Arial" w:cs="Arial"/>
          <w:b/>
          <w:bCs/>
          <w:color w:val="E31837"/>
          <w:spacing w:val="38"/>
          <w:kern w:val="32"/>
          <w:position w:val="6"/>
        </w:rPr>
        <w:t>What is Required for Fibre Channel over Ethernet Support?</w:t>
      </w:r>
    </w:p>
    <w:p w14:paraId="25EC7897" w14:textId="77777777" w:rsidR="000B569B" w:rsidRDefault="000B569B" w:rsidP="00A016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DB043B" w14:textId="77777777" w:rsidR="00C80856" w:rsidRPr="00FC24AE" w:rsidRDefault="00A01621" w:rsidP="00FC24AE">
      <w:pPr>
        <w:pStyle w:val="ListParagraph"/>
        <w:rPr>
          <w:rFonts w:ascii="Arial" w:hAnsi="Arial" w:cs="Arial"/>
        </w:rPr>
      </w:pPr>
      <w:r w:rsidRPr="000B569B">
        <w:rPr>
          <w:rFonts w:ascii="Arial" w:hAnsi="Arial" w:cs="Arial"/>
        </w:rPr>
        <w:t>Fibre Channel over Ethernet (FCoE) is a somewhat newer storage</w:t>
      </w:r>
      <w:r w:rsidR="001C640E">
        <w:rPr>
          <w:rFonts w:ascii="Arial" w:hAnsi="Arial" w:cs="Arial"/>
        </w:rPr>
        <w:t xml:space="preserve"> </w:t>
      </w:r>
      <w:r w:rsidRPr="000B569B">
        <w:rPr>
          <w:rFonts w:ascii="Arial" w:hAnsi="Arial" w:cs="Arial"/>
        </w:rPr>
        <w:t>protocol. However, because FCoE was designed to be compatible with</w:t>
      </w:r>
      <w:r w:rsidR="001C640E">
        <w:rPr>
          <w:rFonts w:ascii="Arial" w:hAnsi="Arial" w:cs="Arial"/>
        </w:rPr>
        <w:t xml:space="preserve"> </w:t>
      </w:r>
      <w:r w:rsidRPr="000B569B">
        <w:rPr>
          <w:rFonts w:ascii="Arial" w:hAnsi="Arial" w:cs="Arial"/>
        </w:rPr>
        <w:t>Fibre Channel, it looks, acts, and behaves like Fibre Channel to ESXi. As</w:t>
      </w:r>
      <w:r w:rsidR="001C640E">
        <w:rPr>
          <w:rFonts w:ascii="Arial" w:hAnsi="Arial" w:cs="Arial"/>
        </w:rPr>
        <w:t xml:space="preserve"> </w:t>
      </w:r>
      <w:r w:rsidRPr="000B569B">
        <w:rPr>
          <w:rFonts w:ascii="Arial" w:hAnsi="Arial" w:cs="Arial"/>
        </w:rPr>
        <w:t>long as drivers for the FCoE converged network adapter (CNA) are</w:t>
      </w:r>
      <w:r w:rsidR="001C640E">
        <w:rPr>
          <w:rFonts w:ascii="Arial" w:hAnsi="Arial" w:cs="Arial"/>
        </w:rPr>
        <w:t xml:space="preserve"> </w:t>
      </w:r>
      <w:r w:rsidRPr="000B569B">
        <w:rPr>
          <w:rFonts w:ascii="Arial" w:hAnsi="Arial" w:cs="Arial"/>
        </w:rPr>
        <w:t>available—and this is where you would go back to the VMware</w:t>
      </w:r>
      <w:r w:rsidR="001C640E">
        <w:rPr>
          <w:rFonts w:ascii="Arial" w:hAnsi="Arial" w:cs="Arial"/>
        </w:rPr>
        <w:t xml:space="preserve"> </w:t>
      </w:r>
      <w:r w:rsidRPr="000B569B">
        <w:rPr>
          <w:rFonts w:ascii="Arial" w:hAnsi="Arial" w:cs="Arial"/>
        </w:rPr>
        <w:t>Compatibility Guide again—support for FCoE should not be an issue.</w:t>
      </w:r>
    </w:p>
    <w:sectPr w:rsidR="00C80856" w:rsidRPr="00FC24AE" w:rsidSect="00F530C2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F603D" w14:textId="77777777" w:rsidR="00923F75" w:rsidRDefault="00923F75">
      <w:pPr>
        <w:spacing w:after="0" w:line="240" w:lineRule="auto"/>
      </w:pPr>
      <w:r>
        <w:separator/>
      </w:r>
    </w:p>
  </w:endnote>
  <w:endnote w:type="continuationSeparator" w:id="0">
    <w:p w14:paraId="6C1BECC0" w14:textId="77777777" w:rsidR="00923F75" w:rsidRDefault="0092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60905" w14:textId="77777777" w:rsidR="00923F75" w:rsidRDefault="00923F75">
      <w:pPr>
        <w:spacing w:after="0" w:line="240" w:lineRule="auto"/>
      </w:pPr>
      <w:r>
        <w:separator/>
      </w:r>
    </w:p>
  </w:footnote>
  <w:footnote w:type="continuationSeparator" w:id="0">
    <w:p w14:paraId="6B134653" w14:textId="77777777" w:rsidR="00923F75" w:rsidRDefault="0092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192F1" w14:textId="3C2D593A" w:rsidR="00CE356A" w:rsidRDefault="00923F75" w:rsidP="00AC18A8">
    <w:pPr>
      <w:pStyle w:val="Header"/>
      <w:tabs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152DA"/>
    <w:multiLevelType w:val="hybridMultilevel"/>
    <w:tmpl w:val="7DB0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53947"/>
    <w:multiLevelType w:val="hybridMultilevel"/>
    <w:tmpl w:val="549E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84C9E"/>
    <w:multiLevelType w:val="hybridMultilevel"/>
    <w:tmpl w:val="08003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0235"/>
    <w:multiLevelType w:val="hybridMultilevel"/>
    <w:tmpl w:val="6540CFB0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C7804"/>
    <w:multiLevelType w:val="hybridMultilevel"/>
    <w:tmpl w:val="0EF65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F3954"/>
    <w:multiLevelType w:val="hybridMultilevel"/>
    <w:tmpl w:val="214E2B2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5394"/>
    <w:multiLevelType w:val="hybridMultilevel"/>
    <w:tmpl w:val="371C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F4A19"/>
    <w:multiLevelType w:val="hybridMultilevel"/>
    <w:tmpl w:val="343A1F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C92AF0"/>
    <w:multiLevelType w:val="hybridMultilevel"/>
    <w:tmpl w:val="459A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15039"/>
    <w:multiLevelType w:val="hybridMultilevel"/>
    <w:tmpl w:val="AEAEC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240FB"/>
    <w:multiLevelType w:val="multilevel"/>
    <w:tmpl w:val="2432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CE0737"/>
    <w:multiLevelType w:val="hybridMultilevel"/>
    <w:tmpl w:val="EEDE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42E2"/>
    <w:multiLevelType w:val="multilevel"/>
    <w:tmpl w:val="387EA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6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61"/>
    <w:rsid w:val="000B569B"/>
    <w:rsid w:val="001C640E"/>
    <w:rsid w:val="001F5E93"/>
    <w:rsid w:val="002F20C2"/>
    <w:rsid w:val="003B192C"/>
    <w:rsid w:val="00646E0B"/>
    <w:rsid w:val="00886C39"/>
    <w:rsid w:val="008B4DA6"/>
    <w:rsid w:val="00923F75"/>
    <w:rsid w:val="00A01621"/>
    <w:rsid w:val="00C730D6"/>
    <w:rsid w:val="00C80856"/>
    <w:rsid w:val="00D04161"/>
    <w:rsid w:val="00DF5BE3"/>
    <w:rsid w:val="00F179C5"/>
    <w:rsid w:val="00F530C2"/>
    <w:rsid w:val="00FC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BD168"/>
  <w15:docId w15:val="{181B82F9-DA97-4817-B7D6-26F3E55B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1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16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041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416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04161"/>
  </w:style>
  <w:style w:type="paragraph" w:styleId="NormalWeb">
    <w:name w:val="Normal (Web)"/>
    <w:basedOn w:val="Normal"/>
    <w:uiPriority w:val="99"/>
    <w:semiHidden/>
    <w:unhideWhenUsed/>
    <w:rsid w:val="00D041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0C2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86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C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://www.vmware.com/resources/compatibility/search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package" Target="embeddings/Microsoft_Excel_Macro-Enabled_Worksheet.xlsm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2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C9B768-B17D-44EA-A4B1-2382E11A8E0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8E7258C-7BF1-4DB5-B010-648FE4CEC0C2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Type 1 hypervisors run directly on the system hardware and thus are often referred to as bare-metal hypervisors.</a:t>
          </a:r>
        </a:p>
      </dgm:t>
    </dgm:pt>
    <dgm:pt modelId="{3AFCF5DC-9A38-4E3F-96DA-A9D18E9A5068}" type="parTrans" cxnId="{A70A9601-38AB-4C15-9EB7-64647F090730}">
      <dgm:prSet/>
      <dgm:spPr/>
      <dgm:t>
        <a:bodyPr/>
        <a:lstStyle/>
        <a:p>
          <a:endParaRPr lang="en-US"/>
        </a:p>
      </dgm:t>
    </dgm:pt>
    <dgm:pt modelId="{A0B38A4A-41AF-436F-B3BB-EBE806DDC93E}" type="sibTrans" cxnId="{A70A9601-38AB-4C15-9EB7-64647F090730}">
      <dgm:prSet/>
      <dgm:spPr/>
      <dgm:t>
        <a:bodyPr/>
        <a:lstStyle/>
        <a:p>
          <a:endParaRPr lang="en-US"/>
        </a:p>
      </dgm:t>
    </dgm:pt>
    <dgm:pt modelId="{5E0E01CA-3212-4D82-8568-10053FA71CE6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Type 2 hypervisors require a host operating system</a:t>
          </a:r>
        </a:p>
      </dgm:t>
    </dgm:pt>
    <dgm:pt modelId="{6C7D1F23-96FE-4CAF-8B44-BEBD1873423A}" type="parTrans" cxnId="{6E9BC97A-CE7F-484D-BE5D-0FFD2DD11264}">
      <dgm:prSet/>
      <dgm:spPr/>
      <dgm:t>
        <a:bodyPr/>
        <a:lstStyle/>
        <a:p>
          <a:endParaRPr lang="en-US"/>
        </a:p>
      </dgm:t>
    </dgm:pt>
    <dgm:pt modelId="{23635493-C85A-419B-B973-4185E4CB8154}" type="sibTrans" cxnId="{6E9BC97A-CE7F-484D-BE5D-0FFD2DD11264}">
      <dgm:prSet/>
      <dgm:spPr/>
      <dgm:t>
        <a:bodyPr/>
        <a:lstStyle/>
        <a:p>
          <a:endParaRPr lang="en-US"/>
        </a:p>
      </dgm:t>
    </dgm:pt>
    <dgm:pt modelId="{F05CFCC1-49A2-4A58-8B9B-CC7DC7184FF6}" type="pres">
      <dgm:prSet presAssocID="{0AC9B768-B17D-44EA-A4B1-2382E11A8E0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9D8B0329-35B5-460B-AF16-B7E6CE0F5C02}" type="pres">
      <dgm:prSet presAssocID="{A8E7258C-7BF1-4DB5-B010-648FE4CEC0C2}" presName="horFlow" presStyleCnt="0"/>
      <dgm:spPr/>
    </dgm:pt>
    <dgm:pt modelId="{AA9B4C0E-F452-4174-9734-45C8E850ACAC}" type="pres">
      <dgm:prSet presAssocID="{A8E7258C-7BF1-4DB5-B010-648FE4CEC0C2}" presName="bigChev" presStyleLbl="node1" presStyleIdx="0" presStyleCnt="2"/>
      <dgm:spPr/>
    </dgm:pt>
    <dgm:pt modelId="{F7A993A8-2737-4486-8EA5-8BA7F45A066B}" type="pres">
      <dgm:prSet presAssocID="{A8E7258C-7BF1-4DB5-B010-648FE4CEC0C2}" presName="vSp" presStyleCnt="0"/>
      <dgm:spPr/>
    </dgm:pt>
    <dgm:pt modelId="{0A4E059D-3B93-43A6-8A67-056725170C44}" type="pres">
      <dgm:prSet presAssocID="{5E0E01CA-3212-4D82-8568-10053FA71CE6}" presName="horFlow" presStyleCnt="0"/>
      <dgm:spPr/>
    </dgm:pt>
    <dgm:pt modelId="{9DB54A2B-06D3-4266-A1C4-5021A9EA3B68}" type="pres">
      <dgm:prSet presAssocID="{5E0E01CA-3212-4D82-8568-10053FA71CE6}" presName="bigChev" presStyleLbl="node1" presStyleIdx="1" presStyleCnt="2"/>
      <dgm:spPr/>
    </dgm:pt>
  </dgm:ptLst>
  <dgm:cxnLst>
    <dgm:cxn modelId="{1EE27F00-FF11-47CF-9985-2FF6604266FC}" type="presOf" srcId="{A8E7258C-7BF1-4DB5-B010-648FE4CEC0C2}" destId="{AA9B4C0E-F452-4174-9734-45C8E850ACAC}" srcOrd="0" destOrd="0" presId="urn:microsoft.com/office/officeart/2005/8/layout/lProcess3"/>
    <dgm:cxn modelId="{A70A9601-38AB-4C15-9EB7-64647F090730}" srcId="{0AC9B768-B17D-44EA-A4B1-2382E11A8E0A}" destId="{A8E7258C-7BF1-4DB5-B010-648FE4CEC0C2}" srcOrd="0" destOrd="0" parTransId="{3AFCF5DC-9A38-4E3F-96DA-A9D18E9A5068}" sibTransId="{A0B38A4A-41AF-436F-B3BB-EBE806DDC93E}"/>
    <dgm:cxn modelId="{A6A97640-9ADF-493B-8F95-C67017BFB266}" type="presOf" srcId="{5E0E01CA-3212-4D82-8568-10053FA71CE6}" destId="{9DB54A2B-06D3-4266-A1C4-5021A9EA3B68}" srcOrd="0" destOrd="0" presId="urn:microsoft.com/office/officeart/2005/8/layout/lProcess3"/>
    <dgm:cxn modelId="{6E9BC97A-CE7F-484D-BE5D-0FFD2DD11264}" srcId="{0AC9B768-B17D-44EA-A4B1-2382E11A8E0A}" destId="{5E0E01CA-3212-4D82-8568-10053FA71CE6}" srcOrd="1" destOrd="0" parTransId="{6C7D1F23-96FE-4CAF-8B44-BEBD1873423A}" sibTransId="{23635493-C85A-419B-B973-4185E4CB8154}"/>
    <dgm:cxn modelId="{9D709685-0DA9-4A94-BF64-7B54637816E8}" type="presOf" srcId="{0AC9B768-B17D-44EA-A4B1-2382E11A8E0A}" destId="{F05CFCC1-49A2-4A58-8B9B-CC7DC7184FF6}" srcOrd="0" destOrd="0" presId="urn:microsoft.com/office/officeart/2005/8/layout/lProcess3"/>
    <dgm:cxn modelId="{34C9F825-F008-40B7-BB0F-F613ECEFE90B}" type="presParOf" srcId="{F05CFCC1-49A2-4A58-8B9B-CC7DC7184FF6}" destId="{9D8B0329-35B5-460B-AF16-B7E6CE0F5C02}" srcOrd="0" destOrd="0" presId="urn:microsoft.com/office/officeart/2005/8/layout/lProcess3"/>
    <dgm:cxn modelId="{B4745D50-438A-4B3D-AE65-86FA3727DB49}" type="presParOf" srcId="{9D8B0329-35B5-460B-AF16-B7E6CE0F5C02}" destId="{AA9B4C0E-F452-4174-9734-45C8E850ACAC}" srcOrd="0" destOrd="0" presId="urn:microsoft.com/office/officeart/2005/8/layout/lProcess3"/>
    <dgm:cxn modelId="{FED4E148-0111-41EF-A681-A81649AA903C}" type="presParOf" srcId="{F05CFCC1-49A2-4A58-8B9B-CC7DC7184FF6}" destId="{F7A993A8-2737-4486-8EA5-8BA7F45A066B}" srcOrd="1" destOrd="0" presId="urn:microsoft.com/office/officeart/2005/8/layout/lProcess3"/>
    <dgm:cxn modelId="{00EA7F1F-B2D6-47D3-9688-6B4F91E7419B}" type="presParOf" srcId="{F05CFCC1-49A2-4A58-8B9B-CC7DC7184FF6}" destId="{0A4E059D-3B93-43A6-8A67-056725170C44}" srcOrd="2" destOrd="0" presId="urn:microsoft.com/office/officeart/2005/8/layout/lProcess3"/>
    <dgm:cxn modelId="{13A955F9-DB5E-4725-B727-1049E80EFB16}" type="presParOf" srcId="{0A4E059D-3B93-43A6-8A67-056725170C44}" destId="{9DB54A2B-06D3-4266-A1C4-5021A9EA3B68}" srcOrd="0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9B4C0E-F452-4174-9734-45C8E850ACAC}">
      <dsp:nvSpPr>
        <dsp:cNvPr id="0" name=""/>
        <dsp:cNvSpPr/>
      </dsp:nvSpPr>
      <dsp:spPr>
        <a:xfrm>
          <a:off x="876002" y="2196"/>
          <a:ext cx="3734395" cy="149375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Type 1 hypervisors run directly on the system hardware and thus are often referred to as bare-metal hypervisors.</a:t>
          </a:r>
        </a:p>
      </dsp:txBody>
      <dsp:txXfrm>
        <a:off x="1622881" y="2196"/>
        <a:ext cx="2240637" cy="1493758"/>
      </dsp:txXfrm>
    </dsp:sp>
    <dsp:sp modelId="{9DB54A2B-06D3-4266-A1C4-5021A9EA3B68}">
      <dsp:nvSpPr>
        <dsp:cNvPr id="0" name=""/>
        <dsp:cNvSpPr/>
      </dsp:nvSpPr>
      <dsp:spPr>
        <a:xfrm>
          <a:off x="876002" y="1705080"/>
          <a:ext cx="3734395" cy="149375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Type 2 hypervisors require a host operating system</a:t>
          </a:r>
        </a:p>
      </dsp:txBody>
      <dsp:txXfrm>
        <a:off x="1622881" y="1705080"/>
        <a:ext cx="2240637" cy="14937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Ashwani</dc:creator>
  <cp:keywords/>
  <dc:description/>
  <cp:lastModifiedBy>Team1</cp:lastModifiedBy>
  <cp:revision>13</cp:revision>
  <dcterms:created xsi:type="dcterms:W3CDTF">2017-01-23T09:34:00Z</dcterms:created>
  <dcterms:modified xsi:type="dcterms:W3CDTF">2019-03-23T17:47:00Z</dcterms:modified>
</cp:coreProperties>
</file>